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0AF90B22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3904DD">
        <w:rPr>
          <w:rStyle w:val="usercontent"/>
          <w:rFonts w:ascii="Segoe Pro" w:hAnsi="Segoe Pro"/>
          <w:color w:val="2C5697"/>
        </w:rPr>
        <w:t>28 octobre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930471">
        <w:rPr>
          <w:rStyle w:val="usercontent"/>
          <w:rFonts w:ascii="Segoe Pro" w:hAnsi="Segoe Pro"/>
          <w:color w:val="2C5697"/>
        </w:rPr>
        <w:t>4</w:t>
      </w:r>
    </w:p>
    <w:p w14:paraId="2DC8B725" w14:textId="7B944842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6531AF">
        <w:rPr>
          <w:rFonts w:ascii="Segoe Pro" w:hAnsi="Segoe Pro"/>
        </w:rPr>
        <w:t>28 octobre</w:t>
      </w:r>
      <w:r w:rsidR="00BD635B" w:rsidRPr="00951F90">
        <w:rPr>
          <w:rFonts w:ascii="Segoe Pro" w:hAnsi="Segoe Pro"/>
        </w:rPr>
        <w:t xml:space="preserve"> 202</w:t>
      </w:r>
      <w:r w:rsidR="00930471">
        <w:rPr>
          <w:rFonts w:ascii="Segoe Pro" w:hAnsi="Segoe Pro"/>
        </w:rPr>
        <w:t>4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22D82D40" w14:textId="0EFE53F9" w:rsidR="001E05AB" w:rsidRDefault="001E05AB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Les congressistes ayant participé </w:t>
      </w:r>
      <w:r w:rsidR="00DD63DC">
        <w:rPr>
          <w:rFonts w:ascii="Segoe Pro" w:hAnsi="Segoe Pro"/>
          <w:iCs/>
          <w:sz w:val="21"/>
          <w:szCs w:val="21"/>
        </w:rPr>
        <w:t>au 34</w:t>
      </w:r>
      <w:r w:rsidR="00DD63DC" w:rsidRPr="00DD63DC">
        <w:rPr>
          <w:rFonts w:ascii="Segoe Pro" w:hAnsi="Segoe Pro"/>
          <w:iCs/>
          <w:sz w:val="21"/>
          <w:szCs w:val="21"/>
          <w:vertAlign w:val="superscript"/>
        </w:rPr>
        <w:t>e</w:t>
      </w:r>
      <w:r w:rsidR="00DD63DC">
        <w:rPr>
          <w:rFonts w:ascii="Segoe Pro" w:hAnsi="Segoe Pro"/>
          <w:iCs/>
          <w:sz w:val="21"/>
          <w:szCs w:val="21"/>
        </w:rPr>
        <w:t xml:space="preserve"> congrès annuel de la Fédération nationale des conseils </w:t>
      </w:r>
      <w:r w:rsidR="00D317E4">
        <w:rPr>
          <w:rFonts w:ascii="Segoe Pro" w:hAnsi="Segoe Pro"/>
          <w:iCs/>
          <w:sz w:val="21"/>
          <w:szCs w:val="21"/>
        </w:rPr>
        <w:t>scolaires francophones (FNCSF) à Charlottetown font valoir leurs appréciations.</w:t>
      </w:r>
    </w:p>
    <w:p w14:paraId="5D14B7E5" w14:textId="7EAD8271" w:rsidR="00D317E4" w:rsidRDefault="00D317E4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Deux membres du Conseil ont participé au congrès </w:t>
      </w:r>
      <w:r w:rsidR="004B51CD">
        <w:rPr>
          <w:rFonts w:ascii="Segoe Pro" w:hAnsi="Segoe Pro"/>
          <w:iCs/>
          <w:sz w:val="21"/>
          <w:szCs w:val="21"/>
        </w:rPr>
        <w:t xml:space="preserve">annuel 2024 « Vitalité franco-ontarienne » </w:t>
      </w:r>
      <w:r>
        <w:rPr>
          <w:rFonts w:ascii="Segoe Pro" w:hAnsi="Segoe Pro"/>
          <w:iCs/>
          <w:sz w:val="21"/>
          <w:szCs w:val="21"/>
        </w:rPr>
        <w:t xml:space="preserve">de </w:t>
      </w:r>
      <w:r w:rsidR="005C75CC">
        <w:rPr>
          <w:rFonts w:ascii="Segoe Pro" w:hAnsi="Segoe Pro"/>
          <w:iCs/>
          <w:sz w:val="21"/>
          <w:szCs w:val="21"/>
        </w:rPr>
        <w:t xml:space="preserve">l’Assemblée de la francophonie de l’Ontario (AFO) </w:t>
      </w:r>
      <w:r>
        <w:rPr>
          <w:rFonts w:ascii="Segoe Pro" w:hAnsi="Segoe Pro"/>
          <w:iCs/>
          <w:sz w:val="21"/>
          <w:szCs w:val="21"/>
        </w:rPr>
        <w:t>à Ottawa.</w:t>
      </w:r>
    </w:p>
    <w:p w14:paraId="17A6019C" w14:textId="2BACE4F4" w:rsidR="000F6B0C" w:rsidRDefault="000F6B0C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</w:t>
      </w:r>
      <w:r w:rsidR="00E1541A">
        <w:rPr>
          <w:rFonts w:ascii="Segoe Pro" w:hAnsi="Segoe Pro"/>
          <w:iCs/>
          <w:sz w:val="21"/>
          <w:szCs w:val="21"/>
        </w:rPr>
        <w:t xml:space="preserve">pprouve </w:t>
      </w:r>
      <w:r w:rsidR="00F52D5A">
        <w:rPr>
          <w:rFonts w:ascii="Segoe Pro" w:hAnsi="Segoe Pro"/>
          <w:iCs/>
          <w:sz w:val="21"/>
          <w:szCs w:val="21"/>
        </w:rPr>
        <w:t xml:space="preserve">l’embauche </w:t>
      </w:r>
      <w:r w:rsidR="00C91C8E">
        <w:rPr>
          <w:rFonts w:ascii="Segoe Pro" w:hAnsi="Segoe Pro"/>
          <w:iCs/>
          <w:sz w:val="21"/>
          <w:szCs w:val="21"/>
        </w:rPr>
        <w:t>de M. Tom Michaud au poste de direction de l’Éducation et secrétaire-trésorier.</w:t>
      </w:r>
      <w:r w:rsidR="001E05AB">
        <w:rPr>
          <w:rFonts w:ascii="Segoe Pro" w:hAnsi="Segoe Pro"/>
          <w:iCs/>
          <w:sz w:val="21"/>
          <w:szCs w:val="21"/>
        </w:rPr>
        <w:t xml:space="preserve"> Il entrera en fonction le 6 janvier 2025.</w:t>
      </w:r>
    </w:p>
    <w:p w14:paraId="462E5441" w14:textId="44FC3137" w:rsidR="00241211" w:rsidRPr="00241211" w:rsidRDefault="00E1541A" w:rsidP="0024121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les politiques suivantes (statu quo) selon le cycle annuel de révision :</w:t>
      </w:r>
    </w:p>
    <w:p w14:paraId="7A630E56" w14:textId="77777777" w:rsidR="00241211" w:rsidRPr="005C75CC" w:rsidRDefault="00241211" w:rsidP="00241211">
      <w:pPr>
        <w:pStyle w:val="Paragraphedeliste"/>
        <w:widowControl w:val="0"/>
        <w:numPr>
          <w:ilvl w:val="0"/>
          <w:numId w:val="21"/>
        </w:numPr>
        <w:tabs>
          <w:tab w:val="left" w:pos="1620"/>
        </w:tabs>
        <w:ind w:right="440"/>
        <w:contextualSpacing/>
        <w:rPr>
          <w:rFonts w:ascii="Segoe Pro" w:hAnsi="Segoe Pro"/>
        </w:rPr>
      </w:pPr>
      <w:hyperlink r:id="rId8" w:history="1">
        <w:r w:rsidRPr="005C75CC">
          <w:rPr>
            <w:rStyle w:val="Hyperlien"/>
            <w:rFonts w:ascii="Segoe Pro" w:hAnsi="Segoe Pro"/>
          </w:rPr>
          <w:t>GOU 29.0 Engagement envers les élèves et leurs parents/tuteurs</w:t>
        </w:r>
      </w:hyperlink>
    </w:p>
    <w:p w14:paraId="4529F972" w14:textId="77777777" w:rsidR="00241211" w:rsidRPr="005C75CC" w:rsidRDefault="00241211" w:rsidP="00241211">
      <w:pPr>
        <w:pStyle w:val="Paragraphedeliste"/>
        <w:widowControl w:val="0"/>
        <w:numPr>
          <w:ilvl w:val="0"/>
          <w:numId w:val="21"/>
        </w:numPr>
        <w:tabs>
          <w:tab w:val="left" w:pos="1620"/>
        </w:tabs>
        <w:ind w:right="440"/>
        <w:contextualSpacing/>
        <w:rPr>
          <w:rFonts w:ascii="Segoe Pro" w:hAnsi="Segoe Pro"/>
        </w:rPr>
      </w:pPr>
      <w:hyperlink r:id="rId9" w:history="1">
        <w:r w:rsidRPr="005C75CC">
          <w:rPr>
            <w:rStyle w:val="Hyperlien"/>
            <w:rFonts w:ascii="Segoe Pro" w:hAnsi="Segoe Pro"/>
          </w:rPr>
          <w:t>GOU 30.0 Optimisation du temps d’apprentissage</w:t>
        </w:r>
      </w:hyperlink>
    </w:p>
    <w:p w14:paraId="76535C28" w14:textId="790543F3" w:rsidR="00241211" w:rsidRPr="005C75CC" w:rsidRDefault="00241211" w:rsidP="00241211">
      <w:pPr>
        <w:pStyle w:val="Paragraphedeliste"/>
        <w:widowControl w:val="0"/>
        <w:numPr>
          <w:ilvl w:val="0"/>
          <w:numId w:val="21"/>
        </w:numPr>
        <w:tabs>
          <w:tab w:val="left" w:pos="1620"/>
        </w:tabs>
        <w:ind w:right="440"/>
        <w:contextualSpacing/>
        <w:rPr>
          <w:rFonts w:ascii="Segoe Pro" w:hAnsi="Segoe Pro"/>
        </w:rPr>
      </w:pPr>
      <w:hyperlink r:id="rId10" w:history="1">
        <w:r w:rsidRPr="005C75CC">
          <w:rPr>
            <w:rStyle w:val="Hyperlien"/>
            <w:rFonts w:ascii="Segoe Pro" w:hAnsi="Segoe Pro"/>
          </w:rPr>
          <w:t>GOU 32.0 Prix de contribution exceptionnelle</w:t>
        </w:r>
      </w:hyperlink>
    </w:p>
    <w:p w14:paraId="44554BF9" w14:textId="6FEB7F3F" w:rsidR="00A62251" w:rsidRPr="00890C43" w:rsidRDefault="007F278F" w:rsidP="00890C43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Sénat des élèves a tenu sa première réunion de l’année scolaire. </w:t>
      </w:r>
      <w:r w:rsidR="00907374">
        <w:rPr>
          <w:rFonts w:ascii="Segoe Pro" w:hAnsi="Segoe Pro"/>
          <w:iCs/>
          <w:sz w:val="21"/>
          <w:szCs w:val="21"/>
        </w:rPr>
        <w:t>Les élèves conseillères ont eu l’occasion de se présenter aux premières et premiers ministres des Parlements des élèves. L</w:t>
      </w:r>
      <w:r w:rsidR="00906199">
        <w:rPr>
          <w:rFonts w:ascii="Segoe Pro" w:hAnsi="Segoe Pro"/>
          <w:iCs/>
          <w:sz w:val="21"/>
          <w:szCs w:val="21"/>
        </w:rPr>
        <w:t>es membres collaboreront avec la directrice du Service des communications et des relations de travail dans le dossier de promotion, de recrutement et de rétention</w:t>
      </w:r>
      <w:r w:rsidR="00890C43">
        <w:rPr>
          <w:rFonts w:ascii="Segoe Pro" w:hAnsi="Segoe Pro"/>
          <w:iCs/>
          <w:sz w:val="21"/>
          <w:szCs w:val="21"/>
        </w:rPr>
        <w:t>.</w:t>
      </w:r>
    </w:p>
    <w:sectPr w:rsidR="00A62251" w:rsidRPr="00890C43" w:rsidSect="008C6104">
      <w:headerReference w:type="default" r:id="rId11"/>
      <w:headerReference w:type="first" r:id="rId12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A49F" w14:textId="77777777" w:rsidR="00E7611E" w:rsidRDefault="00E7611E">
      <w:r>
        <w:separator/>
      </w:r>
    </w:p>
  </w:endnote>
  <w:endnote w:type="continuationSeparator" w:id="0">
    <w:p w14:paraId="7EBADDF6" w14:textId="77777777" w:rsidR="00E7611E" w:rsidRDefault="00E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A80C" w14:textId="77777777" w:rsidR="00E7611E" w:rsidRDefault="00E7611E">
      <w:r>
        <w:separator/>
      </w:r>
    </w:p>
  </w:footnote>
  <w:footnote w:type="continuationSeparator" w:id="0">
    <w:p w14:paraId="0ED9E309" w14:textId="77777777" w:rsidR="00E7611E" w:rsidRDefault="00E7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496"/>
    <w:multiLevelType w:val="hybridMultilevel"/>
    <w:tmpl w:val="058C4DA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3C3AD5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1E90"/>
    <w:multiLevelType w:val="hybridMultilevel"/>
    <w:tmpl w:val="7F2C41DE"/>
    <w:lvl w:ilvl="0" w:tplc="0C0C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5"/>
  </w:num>
  <w:num w:numId="3" w16cid:durableId="417094412">
    <w:abstractNumId w:val="10"/>
  </w:num>
  <w:num w:numId="4" w16cid:durableId="1061909155">
    <w:abstractNumId w:val="3"/>
  </w:num>
  <w:num w:numId="5" w16cid:durableId="1917861137">
    <w:abstractNumId w:val="8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6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9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7"/>
  </w:num>
  <w:num w:numId="19" w16cid:durableId="2003654221">
    <w:abstractNumId w:val="1"/>
  </w:num>
  <w:num w:numId="20" w16cid:durableId="31080631">
    <w:abstractNumId w:val="11"/>
  </w:num>
  <w:num w:numId="21" w16cid:durableId="816923665">
    <w:abstractNumId w:val="4"/>
  </w:num>
  <w:num w:numId="22" w16cid:durableId="120267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0F6B0C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1E05AB"/>
    <w:rsid w:val="0021155B"/>
    <w:rsid w:val="0021255F"/>
    <w:rsid w:val="00223101"/>
    <w:rsid w:val="00227418"/>
    <w:rsid w:val="00235003"/>
    <w:rsid w:val="00241211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04DD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B51CD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C75CC"/>
    <w:rsid w:val="005E070F"/>
    <w:rsid w:val="005F0E48"/>
    <w:rsid w:val="00614D71"/>
    <w:rsid w:val="00620BA1"/>
    <w:rsid w:val="00621944"/>
    <w:rsid w:val="0062310E"/>
    <w:rsid w:val="0062541A"/>
    <w:rsid w:val="0063101A"/>
    <w:rsid w:val="00652B91"/>
    <w:rsid w:val="006531AF"/>
    <w:rsid w:val="006533F3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2FDD"/>
    <w:rsid w:val="007A649B"/>
    <w:rsid w:val="007B3255"/>
    <w:rsid w:val="007C35FF"/>
    <w:rsid w:val="007D5C70"/>
    <w:rsid w:val="007E0707"/>
    <w:rsid w:val="007E0CFA"/>
    <w:rsid w:val="007F278F"/>
    <w:rsid w:val="007F4329"/>
    <w:rsid w:val="00812CD4"/>
    <w:rsid w:val="00812E06"/>
    <w:rsid w:val="008275F0"/>
    <w:rsid w:val="00827884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0C43"/>
    <w:rsid w:val="00895178"/>
    <w:rsid w:val="008B6FCF"/>
    <w:rsid w:val="008B7502"/>
    <w:rsid w:val="008C43BA"/>
    <w:rsid w:val="008C6104"/>
    <w:rsid w:val="008D3E69"/>
    <w:rsid w:val="008D5260"/>
    <w:rsid w:val="008D6B09"/>
    <w:rsid w:val="008F47B1"/>
    <w:rsid w:val="00902250"/>
    <w:rsid w:val="00906199"/>
    <w:rsid w:val="00907374"/>
    <w:rsid w:val="0093047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D2DC6"/>
    <w:rsid w:val="009E058F"/>
    <w:rsid w:val="009E4A9A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55791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3387"/>
    <w:rsid w:val="00C54158"/>
    <w:rsid w:val="00C65107"/>
    <w:rsid w:val="00C675D3"/>
    <w:rsid w:val="00C74E36"/>
    <w:rsid w:val="00C75381"/>
    <w:rsid w:val="00C867B9"/>
    <w:rsid w:val="00C91C8E"/>
    <w:rsid w:val="00C92A69"/>
    <w:rsid w:val="00CA5C14"/>
    <w:rsid w:val="00CB0477"/>
    <w:rsid w:val="00CC13CE"/>
    <w:rsid w:val="00CC705F"/>
    <w:rsid w:val="00CD2383"/>
    <w:rsid w:val="00CD723A"/>
    <w:rsid w:val="00D02DDF"/>
    <w:rsid w:val="00D11844"/>
    <w:rsid w:val="00D227A4"/>
    <w:rsid w:val="00D317E4"/>
    <w:rsid w:val="00D5115D"/>
    <w:rsid w:val="00D57523"/>
    <w:rsid w:val="00D67C1D"/>
    <w:rsid w:val="00D86956"/>
    <w:rsid w:val="00D95AEE"/>
    <w:rsid w:val="00DA457F"/>
    <w:rsid w:val="00DB1AE1"/>
    <w:rsid w:val="00DD3C76"/>
    <w:rsid w:val="00DD63DC"/>
    <w:rsid w:val="00DF01B9"/>
    <w:rsid w:val="00DF079E"/>
    <w:rsid w:val="00E02825"/>
    <w:rsid w:val="00E123E0"/>
    <w:rsid w:val="00E12823"/>
    <w:rsid w:val="00E1541A"/>
    <w:rsid w:val="00E36DDA"/>
    <w:rsid w:val="00E4297D"/>
    <w:rsid w:val="00E51565"/>
    <w:rsid w:val="00E57868"/>
    <w:rsid w:val="00E60535"/>
    <w:rsid w:val="00E638DC"/>
    <w:rsid w:val="00E6516F"/>
    <w:rsid w:val="00E72A9C"/>
    <w:rsid w:val="00E7611E"/>
    <w:rsid w:val="00E937F4"/>
    <w:rsid w:val="00E976CA"/>
    <w:rsid w:val="00EA7D5E"/>
    <w:rsid w:val="00EB2B7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2D5A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29_0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nouvelon.ca/doc/DA/GOU32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30_00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28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28</cp:revision>
  <cp:lastPrinted>2020-12-07T13:38:00Z</cp:lastPrinted>
  <dcterms:created xsi:type="dcterms:W3CDTF">2021-12-06T14:26:00Z</dcterms:created>
  <dcterms:modified xsi:type="dcterms:W3CDTF">2024-10-29T13:29:00Z</dcterms:modified>
</cp:coreProperties>
</file>