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18426EDE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B257AC">
        <w:rPr>
          <w:rStyle w:val="usercontent"/>
          <w:rFonts w:ascii="Segoe Pro" w:hAnsi="Segoe Pro"/>
          <w:color w:val="2C5697"/>
        </w:rPr>
        <w:t>30 mai 2023</w:t>
      </w:r>
    </w:p>
    <w:p w14:paraId="2DC8B725" w14:textId="1E274286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B257AC">
        <w:rPr>
          <w:rFonts w:ascii="Segoe Pro" w:hAnsi="Segoe Pro"/>
        </w:rPr>
        <w:t>30 mai 2023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168DAB9E" w:rsidR="00F81AFD" w:rsidRDefault="00633C1F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Dans le cadre d’une présentation, la direction d’école de l</w:t>
      </w:r>
      <w:r w:rsidR="00F81AFD">
        <w:rPr>
          <w:rFonts w:ascii="Segoe Pro" w:hAnsi="Segoe Pro"/>
          <w:iCs/>
          <w:sz w:val="21"/>
          <w:szCs w:val="21"/>
        </w:rPr>
        <w:t xml:space="preserve">’école </w:t>
      </w:r>
      <w:r>
        <w:rPr>
          <w:rFonts w:ascii="Segoe Pro" w:hAnsi="Segoe Pro"/>
          <w:iCs/>
          <w:sz w:val="21"/>
          <w:szCs w:val="21"/>
        </w:rPr>
        <w:t xml:space="preserve">élémentaire Ste-Thérèse, </w:t>
      </w:r>
      <w:r w:rsidRPr="00633C1F">
        <w:rPr>
          <w:rFonts w:ascii="Segoe Pro" w:hAnsi="Segoe Pro"/>
          <w:iCs/>
          <w:sz w:val="21"/>
        </w:rPr>
        <w:t>M</w:t>
      </w:r>
      <w:r w:rsidRPr="00633C1F">
        <w:rPr>
          <w:rFonts w:ascii="Segoe Pro" w:hAnsi="Segoe Pro"/>
          <w:iCs/>
          <w:sz w:val="21"/>
          <w:vertAlign w:val="superscript"/>
        </w:rPr>
        <w:t>me</w:t>
      </w:r>
      <w:r>
        <w:rPr>
          <w:rFonts w:ascii="Segoe Pro" w:hAnsi="Segoe Pro"/>
          <w:iCs/>
          <w:sz w:val="21"/>
          <w:szCs w:val="21"/>
        </w:rPr>
        <w:t xml:space="preserve"> Julie Lamoureux, a fait valoir la vitalité et le rayonnement de son école dans la communauté de Val Thérèse.</w:t>
      </w:r>
    </w:p>
    <w:p w14:paraId="585A4849" w14:textId="06EDDF69" w:rsidR="004F5F3C" w:rsidRDefault="004F5F3C" w:rsidP="00C63DD2">
      <w:pPr>
        <w:pStyle w:val="Style1"/>
        <w:numPr>
          <w:ilvl w:val="0"/>
          <w:numId w:val="9"/>
        </w:numPr>
        <w:ind w:left="-180" w:right="284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attribue le contrat de construction de la nouvelle école élémentaire catholique à Val Thérèse à Prosperi Co. Ltd. pour une valeur de 20 785 500 $.</w:t>
      </w:r>
    </w:p>
    <w:p w14:paraId="1EF4F16F" w14:textId="267565E9" w:rsidR="004F5F3C" w:rsidRDefault="004F5F3C" w:rsidP="00C63DD2">
      <w:pPr>
        <w:pStyle w:val="Style1"/>
        <w:numPr>
          <w:ilvl w:val="0"/>
          <w:numId w:val="9"/>
        </w:numPr>
        <w:ind w:left="-180" w:right="284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accepte l’offre de financement Desjardins en lien avec la construction de la nouvelle école élémentaire catholique à Val Thérèse et autorise le prêt à terme segment H de 24 528 646 $ tel que stipulé dans l’offre présentée par Desjardins.</w:t>
      </w:r>
    </w:p>
    <w:p w14:paraId="44A3E32B" w14:textId="73993A30" w:rsidR="00B23469" w:rsidRDefault="00B23469" w:rsidP="00C63DD2">
      <w:pPr>
        <w:pStyle w:val="Style1"/>
        <w:numPr>
          <w:ilvl w:val="0"/>
          <w:numId w:val="9"/>
        </w:numPr>
        <w:ind w:left="-180" w:right="284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Conseil entérine la recommandation du Comité de leadership en éducation catholique</w:t>
      </w:r>
      <w:r w:rsidR="00A0156E">
        <w:rPr>
          <w:rFonts w:ascii="Segoe Pro" w:hAnsi="Segoe Pro"/>
          <w:iCs/>
          <w:sz w:val="21"/>
          <w:szCs w:val="21"/>
        </w:rPr>
        <w:t xml:space="preserve">, en son rôle de comité de sélection, d’avoir retenue deux candidatures pour le </w:t>
      </w:r>
      <w:r w:rsidR="00A0156E" w:rsidRPr="00C63DD2">
        <w:rPr>
          <w:rFonts w:ascii="Segoe Pro" w:hAnsi="Segoe Pro"/>
          <w:b/>
          <w:bCs/>
          <w:iCs/>
          <w:sz w:val="21"/>
          <w:szCs w:val="21"/>
        </w:rPr>
        <w:t>Prix de contribution exceptionnelle 2023</w:t>
      </w:r>
      <w:r w:rsidR="00A0156E">
        <w:rPr>
          <w:rFonts w:ascii="Segoe Pro" w:hAnsi="Segoe Pro"/>
          <w:iCs/>
          <w:sz w:val="21"/>
          <w:szCs w:val="21"/>
        </w:rPr>
        <w:t xml:space="preserve"> du Conseil scolaire catholique Nouvel. Les récipiendaires seront </w:t>
      </w:r>
      <w:r w:rsidR="00BB0978">
        <w:rPr>
          <w:rFonts w:ascii="Segoe Pro" w:hAnsi="Segoe Pro"/>
          <w:iCs/>
          <w:sz w:val="21"/>
          <w:szCs w:val="21"/>
        </w:rPr>
        <w:t>dévoilés et soulignés</w:t>
      </w:r>
      <w:r w:rsidR="00A0156E">
        <w:rPr>
          <w:rFonts w:ascii="Segoe Pro" w:hAnsi="Segoe Pro"/>
          <w:iCs/>
          <w:sz w:val="21"/>
          <w:szCs w:val="21"/>
        </w:rPr>
        <w:t xml:space="preserve"> lors d’une cérémonie des finissants (secondaire) ou bien </w:t>
      </w:r>
      <w:r w:rsidR="00E70B74">
        <w:rPr>
          <w:rFonts w:ascii="Segoe Pro" w:hAnsi="Segoe Pro"/>
          <w:iCs/>
          <w:sz w:val="21"/>
          <w:szCs w:val="21"/>
        </w:rPr>
        <w:t xml:space="preserve">lors </w:t>
      </w:r>
      <w:r w:rsidR="00A0156E">
        <w:rPr>
          <w:rFonts w:ascii="Segoe Pro" w:hAnsi="Segoe Pro"/>
          <w:iCs/>
          <w:sz w:val="21"/>
          <w:szCs w:val="21"/>
        </w:rPr>
        <w:t>d’une fête de fin d’année (élémentaire).</w:t>
      </w:r>
    </w:p>
    <w:p w14:paraId="144396CD" w14:textId="60E6618C" w:rsidR="00B23469" w:rsidRDefault="00B2346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Le calendrier des réunions du Conseil et des comités politiques 2023-2024 est approuvé par le Conseil.</w:t>
      </w:r>
    </w:p>
    <w:p w14:paraId="2C687C5A" w14:textId="4691061A" w:rsidR="00724429" w:rsidRDefault="00724429" w:rsidP="003B0D5F">
      <w:pPr>
        <w:pStyle w:val="Style1"/>
        <w:numPr>
          <w:ilvl w:val="0"/>
          <w:numId w:val="9"/>
        </w:numPr>
        <w:spacing w:after="0"/>
        <w:ind w:left="-180"/>
        <w:rPr>
          <w:rFonts w:ascii="Segoe Pro" w:hAnsi="Segoe Pro"/>
          <w:iCs/>
          <w:sz w:val="21"/>
          <w:szCs w:val="21"/>
        </w:rPr>
      </w:pPr>
      <w:r w:rsidRPr="00951F90">
        <w:rPr>
          <w:rFonts w:ascii="Segoe Pro" w:hAnsi="Segoe Pro"/>
          <w:iCs/>
          <w:sz w:val="21"/>
          <w:szCs w:val="21"/>
        </w:rPr>
        <w:t>Les politiques suivantes ont été adoptées selon le cycle annuel de révision</w:t>
      </w:r>
      <w:r w:rsidR="00CB0477">
        <w:rPr>
          <w:rFonts w:ascii="Segoe Pro" w:hAnsi="Segoe Pro"/>
          <w:iCs/>
          <w:sz w:val="21"/>
          <w:szCs w:val="21"/>
        </w:rPr>
        <w:t xml:space="preserve"> </w:t>
      </w:r>
      <w:r w:rsidRPr="00951F90">
        <w:rPr>
          <w:rFonts w:ascii="Segoe Pro" w:hAnsi="Segoe Pro"/>
          <w:iCs/>
          <w:sz w:val="21"/>
          <w:szCs w:val="21"/>
        </w:rPr>
        <w:t>:</w:t>
      </w:r>
    </w:p>
    <w:p w14:paraId="65DD4DFE" w14:textId="77777777" w:rsidR="00633C1F" w:rsidRPr="00B23469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rPr>
          <w:rFonts w:ascii="Segoe Pro" w:hAnsi="Segoe Pro"/>
        </w:rPr>
      </w:pPr>
      <w:hyperlink r:id="rId8" w:tooltip="Politique d'engagement" w:history="1">
        <w:r w:rsidR="00633C1F" w:rsidRPr="00B23469">
          <w:rPr>
            <w:rFonts w:ascii="Segoe Pro" w:hAnsi="Segoe Pro"/>
            <w:color w:val="0000FF"/>
            <w:u w:val="single"/>
          </w:rPr>
          <w:t>GOU 1.0 Engagement envers l’éducation catholique de langue française</w:t>
        </w:r>
      </w:hyperlink>
    </w:p>
    <w:p w14:paraId="7605F491" w14:textId="4D54BAD9" w:rsidR="00633C1F" w:rsidRPr="00B23469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rPr>
          <w:rFonts w:ascii="Segoe Pro" w:hAnsi="Segoe Pro"/>
        </w:rPr>
      </w:pPr>
      <w:hyperlink r:id="rId9" w:tooltip="Politique du milieu accueillant" w:history="1">
        <w:r w:rsidR="00633C1F" w:rsidRPr="00B23469">
          <w:rPr>
            <w:rFonts w:ascii="Segoe Pro" w:hAnsi="Segoe Pro"/>
            <w:color w:val="0000FF"/>
            <w:u w:val="single"/>
          </w:rPr>
          <w:t>GOU 2.0 Milieu accueillant, engageant, novateur, durable, sain et</w:t>
        </w:r>
        <w:r w:rsidR="00B23469">
          <w:rPr>
            <w:rFonts w:ascii="Segoe Pro" w:hAnsi="Segoe Pro"/>
            <w:color w:val="0000FF"/>
            <w:u w:val="single"/>
          </w:rPr>
          <w:t xml:space="preserve"> </w:t>
        </w:r>
        <w:r w:rsidR="00633C1F" w:rsidRPr="00B23469">
          <w:rPr>
            <w:rFonts w:ascii="Segoe Pro" w:hAnsi="Segoe Pro"/>
            <w:color w:val="0000FF"/>
            <w:u w:val="single"/>
          </w:rPr>
          <w:t>sécuritaire centré sur le Christ</w:t>
        </w:r>
      </w:hyperlink>
    </w:p>
    <w:p w14:paraId="5D846313" w14:textId="77777777" w:rsidR="00633C1F" w:rsidRPr="00B23469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rPr>
          <w:rFonts w:ascii="Segoe Pro" w:hAnsi="Segoe Pro"/>
        </w:rPr>
      </w:pPr>
      <w:hyperlink r:id="rId10" w:history="1">
        <w:r w:rsidR="00633C1F" w:rsidRPr="00B23469">
          <w:rPr>
            <w:rFonts w:ascii="Segoe Pro" w:hAnsi="Segoe Pro"/>
            <w:color w:val="0000FF"/>
            <w:u w:val="single"/>
          </w:rPr>
          <w:t>GOU 3.0 Rôle et responsabilités du Conseil</w:t>
        </w:r>
      </w:hyperlink>
    </w:p>
    <w:p w14:paraId="3AD9A83E" w14:textId="773785A8" w:rsidR="00633C1F" w:rsidRPr="00D66DF8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rPr>
          <w:rFonts w:ascii="Segoe Pro" w:hAnsi="Segoe Pro"/>
        </w:rPr>
      </w:pPr>
      <w:hyperlink r:id="rId11" w:tooltip="Politique des élèves conseillers" w:history="1">
        <w:r w:rsidR="00633C1F" w:rsidRPr="00B23469">
          <w:rPr>
            <w:rStyle w:val="Lienhypertexte"/>
            <w:rFonts w:ascii="Segoe Pro" w:hAnsi="Segoe Pro"/>
          </w:rPr>
          <w:t>GOU 7.0 Élèves conseillers</w:t>
        </w:r>
      </w:hyperlink>
      <w:r w:rsidR="00D66DF8">
        <w:rPr>
          <w:rStyle w:val="Lienhypertexte"/>
          <w:rFonts w:ascii="Segoe Pro" w:hAnsi="Segoe Pro"/>
          <w:u w:val="none"/>
        </w:rPr>
        <w:t xml:space="preserve"> </w:t>
      </w:r>
      <w:r w:rsidR="00D66DF8" w:rsidRPr="00D66DF8">
        <w:rPr>
          <w:rStyle w:val="Lienhypertexte"/>
          <w:rFonts w:ascii="Segoe Pro" w:hAnsi="Segoe Pro"/>
          <w:color w:val="auto"/>
          <w:u w:val="none"/>
        </w:rPr>
        <w:t>(révision)</w:t>
      </w:r>
    </w:p>
    <w:p w14:paraId="16B15F1F" w14:textId="2DCF1214" w:rsidR="00633C1F" w:rsidRPr="00B23469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0" w:after="0"/>
        <w:ind w:right="-540"/>
        <w:rPr>
          <w:rFonts w:ascii="Segoe Pro" w:hAnsi="Segoe Pro"/>
        </w:rPr>
      </w:pPr>
      <w:hyperlink r:id="rId12" w:tooltip="Politique de remboursement des dépenses des conseillers scolaires" w:history="1">
        <w:r w:rsidR="00633C1F" w:rsidRPr="00B23469">
          <w:rPr>
            <w:rFonts w:ascii="Segoe Pro" w:hAnsi="Segoe Pro"/>
            <w:color w:val="0000FF"/>
            <w:u w:val="single"/>
          </w:rPr>
          <w:t>GOU 10.0 Remboursement des dépenses des conseillers scolaires</w:t>
        </w:r>
      </w:hyperlink>
    </w:p>
    <w:p w14:paraId="4B183248" w14:textId="77777777" w:rsidR="00633C1F" w:rsidRPr="00B23469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rPr>
          <w:rFonts w:ascii="Segoe Pro" w:hAnsi="Segoe Pro"/>
        </w:rPr>
      </w:pPr>
      <w:hyperlink r:id="rId13" w:history="1">
        <w:r w:rsidR="00633C1F" w:rsidRPr="00B23469">
          <w:rPr>
            <w:rFonts w:ascii="Segoe Pro" w:hAnsi="Segoe Pro"/>
            <w:color w:val="0000FF"/>
            <w:u w:val="single"/>
          </w:rPr>
          <w:t>GOU 15.0 Défense des intérêts</w:t>
        </w:r>
      </w:hyperlink>
    </w:p>
    <w:p w14:paraId="16ADB842" w14:textId="3EAD61A3" w:rsidR="00633C1F" w:rsidRPr="00B23469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rPr>
          <w:rFonts w:ascii="Segoe Pro" w:hAnsi="Segoe Pro"/>
        </w:rPr>
      </w:pPr>
      <w:hyperlink r:id="rId14" w:history="1">
        <w:r w:rsidR="00633C1F" w:rsidRPr="00B23469">
          <w:rPr>
            <w:rFonts w:ascii="Segoe Pro" w:hAnsi="Segoe Pro"/>
            <w:color w:val="0000FF"/>
            <w:u w:val="single"/>
          </w:rPr>
          <w:t xml:space="preserve">GOU 17.0 </w:t>
        </w:r>
        <w:r w:rsidR="00EF4738">
          <w:rPr>
            <w:rFonts w:ascii="Segoe Pro" w:hAnsi="Segoe Pro"/>
            <w:color w:val="0000FF"/>
            <w:u w:val="single"/>
          </w:rPr>
          <w:t>P</w:t>
        </w:r>
        <w:r w:rsidR="00633C1F" w:rsidRPr="00B23469">
          <w:rPr>
            <w:rFonts w:ascii="Segoe Pro" w:hAnsi="Segoe Pro"/>
            <w:color w:val="0000FF"/>
            <w:u w:val="single"/>
          </w:rPr>
          <w:t>olitiques</w:t>
        </w:r>
      </w:hyperlink>
    </w:p>
    <w:p w14:paraId="35820A38" w14:textId="0997F4D3" w:rsidR="00EF4738" w:rsidRPr="00EF4738" w:rsidRDefault="00EF4738" w:rsidP="00EF4738">
      <w:pPr>
        <w:pStyle w:val="Paragraphedeliste"/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0" w:after="0"/>
        <w:ind w:right="-540"/>
        <w:rPr>
          <w:rStyle w:val="Lienhypertexte"/>
          <w:rFonts w:ascii="Segoe Pro" w:hAnsi="Segoe Pro"/>
        </w:rPr>
      </w:pPr>
      <w:r>
        <w:rPr>
          <w:rFonts w:ascii="Segoe Pro" w:hAnsi="Segoe Pro"/>
          <w:color w:val="0000FF"/>
          <w:u w:val="single"/>
        </w:rPr>
        <w:fldChar w:fldCharType="begin"/>
      </w:r>
      <w:r>
        <w:rPr>
          <w:rFonts w:ascii="Segoe Pro" w:hAnsi="Segoe Pro"/>
          <w:color w:val="0000FF"/>
          <w:u w:val="single"/>
        </w:rPr>
        <w:instrText xml:space="preserve"> HYPERLINK "https://docs.nouvelon.ca/doc/DA/GOU22_00.docx" \o "Politique du recrutement, sélection et embauche des acadres supérieurs" </w:instrText>
      </w:r>
      <w:r>
        <w:rPr>
          <w:rFonts w:ascii="Segoe Pro" w:hAnsi="Segoe Pro"/>
          <w:color w:val="0000FF"/>
          <w:u w:val="single"/>
        </w:rPr>
      </w:r>
      <w:r>
        <w:rPr>
          <w:rFonts w:ascii="Segoe Pro" w:hAnsi="Segoe Pro"/>
          <w:color w:val="0000FF"/>
          <w:u w:val="single"/>
        </w:rPr>
        <w:fldChar w:fldCharType="separate"/>
      </w:r>
      <w:r w:rsidRPr="00EF4738">
        <w:rPr>
          <w:rStyle w:val="Lienhypertexte"/>
          <w:rFonts w:ascii="Segoe Pro" w:hAnsi="Segoe Pro"/>
        </w:rPr>
        <w:t>GOU 22.0 Recrutement, sélection et embauche des cadres supérieurs</w:t>
      </w:r>
    </w:p>
    <w:p w14:paraId="26AC67C7" w14:textId="206C6614" w:rsidR="00633C1F" w:rsidRPr="00D66DF8" w:rsidRDefault="00EF4738" w:rsidP="00D66DF8">
      <w:pPr>
        <w:pStyle w:val="Paragraphedeliste"/>
        <w:widowControl w:val="0"/>
        <w:numPr>
          <w:ilvl w:val="0"/>
          <w:numId w:val="22"/>
        </w:numPr>
        <w:tabs>
          <w:tab w:val="left" w:pos="1260"/>
          <w:tab w:val="right" w:leader="dot" w:pos="8460"/>
          <w:tab w:val="left" w:pos="8640"/>
        </w:tabs>
        <w:spacing w:before="0" w:after="0"/>
        <w:ind w:right="-684"/>
        <w:rPr>
          <w:rFonts w:ascii="Segoe Pro" w:hAnsi="Segoe Pro"/>
        </w:rPr>
      </w:pPr>
      <w:r>
        <w:rPr>
          <w:rFonts w:ascii="Segoe Pro" w:hAnsi="Segoe Pro"/>
          <w:color w:val="0000FF"/>
          <w:u w:val="single"/>
        </w:rPr>
        <w:fldChar w:fldCharType="end"/>
      </w:r>
      <w:hyperlink r:id="rId15" w:tooltip="Politique sur les calendriers scolaires" w:history="1">
        <w:r w:rsidR="00633C1F" w:rsidRPr="00B23469">
          <w:rPr>
            <w:rStyle w:val="Lienhypertexte"/>
            <w:rFonts w:ascii="Segoe Pro" w:hAnsi="Segoe Pro"/>
          </w:rPr>
          <w:t>GOU 25.0 Calendriers scolaires</w:t>
        </w:r>
      </w:hyperlink>
      <w:r w:rsidR="00D66DF8" w:rsidRPr="00D66DF8">
        <w:rPr>
          <w:rStyle w:val="Lienhypertexte"/>
          <w:rFonts w:ascii="Segoe Pro" w:hAnsi="Segoe Pro"/>
          <w:u w:val="none"/>
        </w:rPr>
        <w:t xml:space="preserve"> </w:t>
      </w:r>
      <w:r w:rsidR="00D66DF8" w:rsidRPr="00D66DF8">
        <w:rPr>
          <w:rStyle w:val="Lienhypertexte"/>
          <w:rFonts w:ascii="Segoe Pro" w:hAnsi="Segoe Pro"/>
          <w:color w:val="auto"/>
          <w:u w:val="none"/>
        </w:rPr>
        <w:t>(révision)</w:t>
      </w:r>
    </w:p>
    <w:p w14:paraId="0AC00EBD" w14:textId="0C3C885C" w:rsidR="00633C1F" w:rsidRPr="00B23469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0" w:after="0"/>
        <w:ind w:right="-540"/>
        <w:rPr>
          <w:rFonts w:ascii="Segoe Pro" w:hAnsi="Segoe Pro"/>
        </w:rPr>
      </w:pPr>
      <w:hyperlink r:id="rId16" w:history="1">
        <w:r w:rsidR="00633C1F" w:rsidRPr="00B23469">
          <w:rPr>
            <w:rFonts w:ascii="Segoe Pro" w:hAnsi="Segoe Pro"/>
            <w:color w:val="0000FF"/>
            <w:u w:val="single"/>
          </w:rPr>
          <w:t>GOU 27.0 Éducation environnementale</w:t>
        </w:r>
      </w:hyperlink>
    </w:p>
    <w:p w14:paraId="05022F65" w14:textId="3F83DBBB" w:rsidR="00633C1F" w:rsidRPr="00EF4738" w:rsidRDefault="00000000" w:rsidP="00B23469">
      <w:pPr>
        <w:pStyle w:val="Paragraphedeliste"/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0" w:after="0"/>
        <w:ind w:right="-540"/>
        <w:rPr>
          <w:rFonts w:ascii="Segoe Pro" w:hAnsi="Segoe Pro"/>
        </w:rPr>
      </w:pPr>
      <w:hyperlink r:id="rId17" w:history="1">
        <w:r w:rsidR="00633C1F" w:rsidRPr="00B23469">
          <w:rPr>
            <w:rFonts w:ascii="Segoe Pro" w:hAnsi="Segoe Pro"/>
            <w:color w:val="0000FF"/>
            <w:u w:val="single"/>
          </w:rPr>
          <w:t xml:space="preserve">GOU </w:t>
        </w:r>
        <w:r w:rsidR="00EF4738">
          <w:rPr>
            <w:rFonts w:ascii="Segoe Pro" w:hAnsi="Segoe Pro"/>
            <w:color w:val="0000FF"/>
            <w:u w:val="single"/>
          </w:rPr>
          <w:t>2</w:t>
        </w:r>
        <w:r w:rsidR="00633C1F" w:rsidRPr="00B23469">
          <w:rPr>
            <w:rFonts w:ascii="Segoe Pro" w:hAnsi="Segoe Pro"/>
            <w:color w:val="0000FF"/>
            <w:u w:val="single"/>
          </w:rPr>
          <w:t>6.0 Équité et éducation inclusive</w:t>
        </w:r>
      </w:hyperlink>
    </w:p>
    <w:p w14:paraId="56194151" w14:textId="49707EF8" w:rsidR="00EF4738" w:rsidRPr="00EF4738" w:rsidRDefault="00EF4738" w:rsidP="00EF4738">
      <w:pPr>
        <w:pStyle w:val="Paragraphedeliste"/>
        <w:widowControl w:val="0"/>
        <w:numPr>
          <w:ilvl w:val="0"/>
          <w:numId w:val="2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spacing w:before="0" w:after="0"/>
        <w:ind w:right="-540"/>
        <w:rPr>
          <w:rFonts w:ascii="Segoe Pro" w:hAnsi="Segoe Pro"/>
        </w:rPr>
      </w:pPr>
      <w:hyperlink r:id="rId18" w:history="1">
        <w:r w:rsidRPr="00B23469">
          <w:rPr>
            <w:rFonts w:ascii="Segoe Pro" w:hAnsi="Segoe Pro"/>
            <w:color w:val="0000FF"/>
            <w:u w:val="single"/>
          </w:rPr>
          <w:t>GOU 3</w:t>
        </w:r>
        <w:r>
          <w:rPr>
            <w:rFonts w:ascii="Segoe Pro" w:hAnsi="Segoe Pro"/>
            <w:color w:val="0000FF"/>
            <w:u w:val="single"/>
          </w:rPr>
          <w:t>9</w:t>
        </w:r>
        <w:r w:rsidRPr="00B23469">
          <w:rPr>
            <w:rFonts w:ascii="Segoe Pro" w:hAnsi="Segoe Pro"/>
            <w:color w:val="0000FF"/>
            <w:u w:val="single"/>
          </w:rPr>
          <w:t xml:space="preserve">.0 </w:t>
        </w:r>
        <w:r>
          <w:rPr>
            <w:rFonts w:ascii="Segoe Pro" w:hAnsi="Segoe Pro"/>
            <w:color w:val="0000FF"/>
            <w:u w:val="single"/>
          </w:rPr>
          <w:t>Défense des intérêts</w:t>
        </w:r>
      </w:hyperlink>
    </w:p>
    <w:p w14:paraId="44554BF9" w14:textId="694244DD" w:rsidR="00A62251" w:rsidRPr="003B0D5F" w:rsidRDefault="00E16E8E" w:rsidP="003B0D5F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>Au cours du mois de juin, l</w:t>
      </w:r>
      <w:r w:rsidR="00B23469" w:rsidRPr="00951F90">
        <w:rPr>
          <w:rFonts w:ascii="Segoe Pro" w:hAnsi="Segoe Pro"/>
          <w:iCs/>
          <w:sz w:val="21"/>
          <w:szCs w:val="21"/>
        </w:rPr>
        <w:t xml:space="preserve">es </w:t>
      </w:r>
      <w:r w:rsidR="00B23469">
        <w:rPr>
          <w:rFonts w:ascii="Segoe Pro" w:hAnsi="Segoe Pro"/>
          <w:iCs/>
          <w:sz w:val="21"/>
          <w:szCs w:val="21"/>
        </w:rPr>
        <w:t xml:space="preserve">membres du Conseil participeront aux cérémonies des finissantes et finissants </w:t>
      </w:r>
      <w:r>
        <w:rPr>
          <w:rFonts w:ascii="Segoe Pro" w:hAnsi="Segoe Pro"/>
          <w:iCs/>
          <w:sz w:val="21"/>
          <w:szCs w:val="21"/>
        </w:rPr>
        <w:t>des</w:t>
      </w:r>
      <w:r w:rsidR="00B23469">
        <w:rPr>
          <w:rFonts w:ascii="Segoe Pro" w:hAnsi="Segoe Pro"/>
          <w:iCs/>
          <w:sz w:val="21"/>
          <w:szCs w:val="21"/>
        </w:rPr>
        <w:t xml:space="preserve"> écoles secondaires </w:t>
      </w:r>
      <w:r>
        <w:rPr>
          <w:rFonts w:ascii="Segoe Pro" w:hAnsi="Segoe Pro"/>
          <w:iCs/>
          <w:sz w:val="21"/>
          <w:szCs w:val="21"/>
        </w:rPr>
        <w:t xml:space="preserve">catholiques </w:t>
      </w:r>
      <w:r w:rsidR="00B23469">
        <w:rPr>
          <w:rFonts w:ascii="Segoe Pro" w:hAnsi="Segoe Pro"/>
          <w:iCs/>
          <w:sz w:val="21"/>
          <w:szCs w:val="21"/>
        </w:rPr>
        <w:t>d</w:t>
      </w:r>
      <w:r w:rsidR="00EF4738">
        <w:rPr>
          <w:rFonts w:ascii="Segoe Pro" w:hAnsi="Segoe Pro"/>
          <w:iCs/>
          <w:sz w:val="21"/>
          <w:szCs w:val="21"/>
        </w:rPr>
        <w:t>ans</w:t>
      </w:r>
      <w:r w:rsidR="00B23469">
        <w:rPr>
          <w:rFonts w:ascii="Segoe Pro" w:hAnsi="Segoe Pro"/>
          <w:iCs/>
          <w:sz w:val="21"/>
          <w:szCs w:val="21"/>
        </w:rPr>
        <w:t xml:space="preserve"> leur zone respective.</w:t>
      </w:r>
    </w:p>
    <w:sectPr w:rsidR="00A62251" w:rsidRPr="003B0D5F" w:rsidSect="008C6104">
      <w:headerReference w:type="default" r:id="rId19"/>
      <w:headerReference w:type="first" r:id="rId20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22E8" w14:textId="77777777" w:rsidR="005E1561" w:rsidRDefault="005E1561">
      <w:r>
        <w:separator/>
      </w:r>
    </w:p>
  </w:endnote>
  <w:endnote w:type="continuationSeparator" w:id="0">
    <w:p w14:paraId="0AD49840" w14:textId="77777777" w:rsidR="005E1561" w:rsidRDefault="005E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9E90" w14:textId="77777777" w:rsidR="005E1561" w:rsidRDefault="005E1561">
      <w:r>
        <w:separator/>
      </w:r>
    </w:p>
  </w:footnote>
  <w:footnote w:type="continuationSeparator" w:id="0">
    <w:p w14:paraId="1C0D271E" w14:textId="77777777" w:rsidR="005E1561" w:rsidRDefault="005E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33D13B8"/>
    <w:multiLevelType w:val="hybridMultilevel"/>
    <w:tmpl w:val="258E377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8" w15:restartNumberingAfterBreak="0">
    <w:nsid w:val="4D0F0FE6"/>
    <w:multiLevelType w:val="hybridMultilevel"/>
    <w:tmpl w:val="848A3D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5"/>
  </w:num>
  <w:num w:numId="3" w16cid:durableId="417094412">
    <w:abstractNumId w:val="12"/>
  </w:num>
  <w:num w:numId="4" w16cid:durableId="1061909155">
    <w:abstractNumId w:val="4"/>
  </w:num>
  <w:num w:numId="5" w16cid:durableId="1917861137">
    <w:abstractNumId w:val="10"/>
  </w:num>
  <w:num w:numId="6" w16cid:durableId="470056148">
    <w:abstractNumId w:val="2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8"/>
  </w:num>
  <w:num w:numId="10" w16cid:durableId="401484669">
    <w:abstractNumId w:val="2"/>
  </w:num>
  <w:num w:numId="11" w16cid:durableId="534999321">
    <w:abstractNumId w:val="2"/>
  </w:num>
  <w:num w:numId="12" w16cid:durableId="1558276194">
    <w:abstractNumId w:val="2"/>
  </w:num>
  <w:num w:numId="13" w16cid:durableId="1656374971">
    <w:abstractNumId w:val="11"/>
  </w:num>
  <w:num w:numId="14" w16cid:durableId="205653025">
    <w:abstractNumId w:val="2"/>
  </w:num>
  <w:num w:numId="15" w16cid:durableId="859969497">
    <w:abstractNumId w:val="2"/>
  </w:num>
  <w:num w:numId="16" w16cid:durableId="1272856054">
    <w:abstractNumId w:val="2"/>
  </w:num>
  <w:num w:numId="17" w16cid:durableId="280889523">
    <w:abstractNumId w:val="2"/>
  </w:num>
  <w:num w:numId="18" w16cid:durableId="1258518364">
    <w:abstractNumId w:val="9"/>
  </w:num>
  <w:num w:numId="19" w16cid:durableId="2003654221">
    <w:abstractNumId w:val="2"/>
  </w:num>
  <w:num w:numId="20" w16cid:durableId="69423791">
    <w:abstractNumId w:val="6"/>
  </w:num>
  <w:num w:numId="21" w16cid:durableId="212035831">
    <w:abstractNumId w:val="7"/>
  </w:num>
  <w:num w:numId="22" w16cid:durableId="967779096">
    <w:abstractNumId w:val="1"/>
  </w:num>
  <w:num w:numId="23" w16cid:durableId="155072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0D5F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15A"/>
    <w:rsid w:val="004E47F2"/>
    <w:rsid w:val="004E4A44"/>
    <w:rsid w:val="004F5F3C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E1561"/>
    <w:rsid w:val="005F0E48"/>
    <w:rsid w:val="00614D71"/>
    <w:rsid w:val="00620BA1"/>
    <w:rsid w:val="0062310E"/>
    <w:rsid w:val="0062541A"/>
    <w:rsid w:val="0063101A"/>
    <w:rsid w:val="00633C1F"/>
    <w:rsid w:val="00652B91"/>
    <w:rsid w:val="00653748"/>
    <w:rsid w:val="00653E6A"/>
    <w:rsid w:val="0065476C"/>
    <w:rsid w:val="00681DB1"/>
    <w:rsid w:val="00691724"/>
    <w:rsid w:val="00692D25"/>
    <w:rsid w:val="006937D2"/>
    <w:rsid w:val="00697916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0225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70A3F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0156E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3469"/>
    <w:rsid w:val="00B24AF7"/>
    <w:rsid w:val="00B257AC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B0978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3DD2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6DF8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16E8E"/>
    <w:rsid w:val="00E36DDA"/>
    <w:rsid w:val="00E4297D"/>
    <w:rsid w:val="00E51565"/>
    <w:rsid w:val="00E57868"/>
    <w:rsid w:val="00E60535"/>
    <w:rsid w:val="00E638DC"/>
    <w:rsid w:val="00E6516F"/>
    <w:rsid w:val="00E70B74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EF4738"/>
    <w:rsid w:val="00F023A2"/>
    <w:rsid w:val="00F0450D"/>
    <w:rsid w:val="00F10A81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nouvelon.ca/doc/DA/GOU01_00.docx" TargetMode="External"/><Relationship Id="rId13" Type="http://schemas.openxmlformats.org/officeDocument/2006/relationships/hyperlink" Target="http://docs.nouvelon.ca/doc/DA/GOU15_00.docx" TargetMode="External"/><Relationship Id="rId18" Type="http://schemas.openxmlformats.org/officeDocument/2006/relationships/hyperlink" Target="https://docs.nouvelon.ca/doc/DA/GOU39_00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nouvelon.ca/doc/DA/GOU10_00.docx" TargetMode="External"/><Relationship Id="rId17" Type="http://schemas.openxmlformats.org/officeDocument/2006/relationships/hyperlink" Target="https://docs.nouvelon.ca/doc/DA/GOU26_0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nouvelon.ca/doc/DA/GOU27_00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nouvelon.ca/doc/DA/GOU07_0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nouvelon.ca/doc/DA/GOU25_00.docx" TargetMode="External"/><Relationship Id="rId10" Type="http://schemas.openxmlformats.org/officeDocument/2006/relationships/hyperlink" Target="https://docs.nouvelon.ca/doc/DA/GOU03_00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nouvelon.ca/doc/DA/GOU02_00.docx" TargetMode="External"/><Relationship Id="rId14" Type="http://schemas.openxmlformats.org/officeDocument/2006/relationships/hyperlink" Target="http://docs.nouvelon.ca/doc/DA/GOU17_00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24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Faits saillants</dc:subject>
  <dc:creator>Conseil scolaire catholique Nouvelon</dc:creator>
  <cp:keywords>Faits saillants</cp:keywords>
  <cp:lastModifiedBy>Lorraine Mainville</cp:lastModifiedBy>
  <cp:revision>18</cp:revision>
  <cp:lastPrinted>2020-12-07T13:38:00Z</cp:lastPrinted>
  <dcterms:created xsi:type="dcterms:W3CDTF">2021-12-06T14:26:00Z</dcterms:created>
  <dcterms:modified xsi:type="dcterms:W3CDTF">2023-05-31T17:27:00Z</dcterms:modified>
</cp:coreProperties>
</file>