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4A204DC7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71645D">
        <w:rPr>
          <w:rStyle w:val="usercontent"/>
          <w:rFonts w:ascii="Segoe Pro" w:hAnsi="Segoe Pro"/>
          <w:color w:val="2C5697"/>
        </w:rPr>
        <w:t>25 janvier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71645D">
        <w:rPr>
          <w:rStyle w:val="usercontent"/>
          <w:rFonts w:ascii="Segoe Pro" w:hAnsi="Segoe Pro"/>
          <w:color w:val="2C5697"/>
        </w:rPr>
        <w:t>2</w:t>
      </w:r>
    </w:p>
    <w:p w14:paraId="2DC8B725" w14:textId="3CD0B1DA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71645D">
        <w:rPr>
          <w:rFonts w:ascii="Segoe Pro" w:hAnsi="Segoe Pro"/>
        </w:rPr>
        <w:t>25 janvier</w:t>
      </w:r>
      <w:r w:rsidR="00BD635B" w:rsidRPr="00951F90">
        <w:rPr>
          <w:rFonts w:ascii="Segoe Pro" w:hAnsi="Segoe Pro"/>
        </w:rPr>
        <w:t xml:space="preserve"> 202</w:t>
      </w:r>
      <w:r w:rsidR="0071645D">
        <w:rPr>
          <w:rFonts w:ascii="Segoe Pro" w:hAnsi="Segoe Pro"/>
        </w:rPr>
        <w:t>2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3F3DAE48" w14:textId="7FC4486E" w:rsidR="00F81AFD" w:rsidRDefault="0071645D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En raison des suivis à effectuer pour un retour sécuritaire en présentiel dans les écoles, la présentation de l’école Jean-Paul II est différée.</w:t>
      </w:r>
    </w:p>
    <w:p w14:paraId="631A9B54" w14:textId="77777777" w:rsidR="00111A8B" w:rsidRDefault="00111A8B" w:rsidP="00111A8B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approuve trois ententes de tenure à bail :</w:t>
      </w:r>
    </w:p>
    <w:p w14:paraId="0EC5DFBA" w14:textId="688EA8EE" w:rsidR="00111A8B" w:rsidRDefault="00111A8B" w:rsidP="00111A8B">
      <w:pPr>
        <w:pStyle w:val="Style1"/>
        <w:numPr>
          <w:ilvl w:val="1"/>
          <w:numId w:val="9"/>
        </w:numPr>
        <w:spacing w:after="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Municipalité St-Charles (école St-Charles</w:t>
      </w:r>
      <w:r w:rsidR="00F44340">
        <w:rPr>
          <w:rFonts w:ascii="Segoe Pro" w:hAnsi="Segoe Pro"/>
          <w:iCs/>
          <w:sz w:val="21"/>
          <w:szCs w:val="21"/>
        </w:rPr>
        <w:t xml:space="preserve"> </w:t>
      </w:r>
      <w:r w:rsidR="00F44340" w:rsidRPr="00E8643F">
        <w:rPr>
          <w:rFonts w:ascii="Segoe Pro" w:hAnsi="Segoe Pro"/>
          <w:iCs/>
          <w:sz w:val="21"/>
          <w:szCs w:val="21"/>
        </w:rPr>
        <w:t>Borromée</w:t>
      </w:r>
      <w:r>
        <w:rPr>
          <w:rFonts w:ascii="Segoe Pro" w:hAnsi="Segoe Pro"/>
          <w:iCs/>
          <w:sz w:val="21"/>
          <w:szCs w:val="21"/>
        </w:rPr>
        <w:t>) - renouvellement</w:t>
      </w:r>
    </w:p>
    <w:p w14:paraId="58249FDC" w14:textId="77777777" w:rsidR="00111A8B" w:rsidRDefault="00111A8B" w:rsidP="00111A8B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Child Care Algoma (école </w:t>
      </w:r>
      <w:r w:rsidRPr="00F44340">
        <w:rPr>
          <w:rFonts w:ascii="Segoe Pro" w:hAnsi="Segoe Pro"/>
          <w:iCs/>
          <w:strike/>
          <w:sz w:val="21"/>
          <w:szCs w:val="21"/>
        </w:rPr>
        <w:t>catholique</w:t>
      </w:r>
      <w:r>
        <w:rPr>
          <w:rFonts w:ascii="Segoe Pro" w:hAnsi="Segoe Pro"/>
          <w:iCs/>
          <w:sz w:val="21"/>
          <w:szCs w:val="21"/>
        </w:rPr>
        <w:t xml:space="preserve"> Notre-Dame-du-Sault) - renouvellement</w:t>
      </w:r>
    </w:p>
    <w:p w14:paraId="1015AB18" w14:textId="552A7C80" w:rsidR="00111A8B" w:rsidRDefault="00111A8B" w:rsidP="00111A8B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Nos enfants, notre avenir (école catholique La Renaissance) </w:t>
      </w:r>
      <w:r w:rsidR="00F44340">
        <w:rPr>
          <w:rFonts w:ascii="Segoe Pro" w:hAnsi="Segoe Pro"/>
          <w:iCs/>
          <w:sz w:val="21"/>
          <w:szCs w:val="21"/>
        </w:rPr>
        <w:t>–</w:t>
      </w:r>
      <w:r>
        <w:rPr>
          <w:rFonts w:ascii="Segoe Pro" w:hAnsi="Segoe Pro"/>
          <w:iCs/>
          <w:sz w:val="21"/>
          <w:szCs w:val="21"/>
        </w:rPr>
        <w:t xml:space="preserve"> nouvelle</w:t>
      </w:r>
      <w:r w:rsidR="00F44340">
        <w:rPr>
          <w:rFonts w:ascii="Segoe Pro" w:hAnsi="Segoe Pro"/>
          <w:iCs/>
          <w:sz w:val="21"/>
          <w:szCs w:val="21"/>
        </w:rPr>
        <w:t xml:space="preserve"> </w:t>
      </w:r>
    </w:p>
    <w:p w14:paraId="73E5D6DF" w14:textId="59F7178F" w:rsidR="00D73658" w:rsidRPr="00DB2BB5" w:rsidRDefault="00D73658" w:rsidP="00DB2BB5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DB2BB5">
        <w:rPr>
          <w:rFonts w:ascii="Segoe Pro" w:hAnsi="Segoe Pro"/>
          <w:iCs/>
          <w:sz w:val="21"/>
          <w:szCs w:val="21"/>
        </w:rPr>
        <w:t xml:space="preserve">Le Conseil approuve le Protocole </w:t>
      </w:r>
      <w:r w:rsidR="00DB2BB5" w:rsidRPr="00DB2BB5">
        <w:rPr>
          <w:rFonts w:ascii="Segoe Pro" w:hAnsi="Segoe Pro"/>
          <w:iCs/>
          <w:sz w:val="21"/>
          <w:szCs w:val="21"/>
        </w:rPr>
        <w:t xml:space="preserve">d’accord, y compris ses annexes, couvrant la </w:t>
      </w:r>
      <w:bookmarkStart w:id="2" w:name="_Hlk92884908"/>
      <w:r w:rsidRPr="00DB2BB5">
        <w:rPr>
          <w:rFonts w:ascii="Segoe Pro" w:eastAsia="Calibri" w:hAnsi="Segoe Pro" w:cs="Calibri"/>
          <w:sz w:val="21"/>
          <w:szCs w:val="21"/>
        </w:rPr>
        <w:t>période du 1</w:t>
      </w:r>
      <w:r w:rsidRPr="00DB2BB5">
        <w:rPr>
          <w:rFonts w:ascii="Segoe Pro" w:eastAsia="Calibri" w:hAnsi="Segoe Pro" w:cs="Calibri"/>
          <w:sz w:val="21"/>
          <w:szCs w:val="21"/>
          <w:vertAlign w:val="superscript"/>
        </w:rPr>
        <w:t>er</w:t>
      </w:r>
      <w:r w:rsidRPr="00DB2BB5">
        <w:rPr>
          <w:rFonts w:ascii="Segoe Pro" w:eastAsia="Calibri" w:hAnsi="Segoe Pro" w:cs="Calibri"/>
          <w:sz w:val="21"/>
          <w:szCs w:val="21"/>
        </w:rPr>
        <w:t xml:space="preserve"> septembre 2020 au 31 août 2023 inclusivement</w:t>
      </w:r>
      <w:r w:rsidR="00F44340" w:rsidRPr="00E8643F">
        <w:rPr>
          <w:rFonts w:ascii="Segoe Pro" w:eastAsia="Calibri" w:hAnsi="Segoe Pro" w:cs="Calibri"/>
          <w:sz w:val="21"/>
          <w:szCs w:val="21"/>
        </w:rPr>
        <w:t>,</w:t>
      </w:r>
      <w:r w:rsidRPr="00E8643F">
        <w:rPr>
          <w:rFonts w:ascii="Segoe Pro" w:eastAsia="Calibri" w:hAnsi="Segoe Pro" w:cs="Calibri"/>
          <w:sz w:val="21"/>
          <w:szCs w:val="21"/>
        </w:rPr>
        <w:t xml:space="preserve"> conclu</w:t>
      </w:r>
      <w:r w:rsidRPr="00DB2BB5">
        <w:rPr>
          <w:rFonts w:ascii="Segoe Pro" w:eastAsia="Calibri" w:hAnsi="Segoe Pro" w:cs="Calibri"/>
          <w:sz w:val="21"/>
          <w:szCs w:val="21"/>
        </w:rPr>
        <w:t xml:space="preserve"> le 14 décembre 2021 entre les associations de conseils/conseillères(ers) scolaires, les associations des directions et directions adjointes, et la Couronne</w:t>
      </w:r>
      <w:bookmarkEnd w:id="2"/>
      <w:r w:rsidR="00DB2BB5">
        <w:rPr>
          <w:rFonts w:ascii="Segoe Pro" w:eastAsia="Calibri" w:hAnsi="Segoe Pro" w:cs="Calibri"/>
          <w:sz w:val="21"/>
          <w:szCs w:val="21"/>
        </w:rPr>
        <w:t>.</w:t>
      </w:r>
    </w:p>
    <w:p w14:paraId="2C687C5A" w14:textId="64E9ACA2" w:rsidR="00724429" w:rsidRDefault="0072442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951F90">
        <w:rPr>
          <w:rFonts w:ascii="Segoe Pro" w:hAnsi="Segoe Pro"/>
          <w:iCs/>
          <w:sz w:val="21"/>
          <w:szCs w:val="21"/>
        </w:rPr>
        <w:t>Les politiques suivantes ont été adoptées selon le cycle annuel de révision</w:t>
      </w:r>
      <w:r w:rsidR="00D73658">
        <w:rPr>
          <w:rFonts w:ascii="Segoe Pro" w:hAnsi="Segoe Pro"/>
          <w:iCs/>
          <w:sz w:val="21"/>
          <w:szCs w:val="21"/>
        </w:rPr>
        <w:t xml:space="preserve"> (statu quo)</w:t>
      </w:r>
      <w:r w:rsidR="00CB0477">
        <w:rPr>
          <w:rFonts w:ascii="Segoe Pro" w:hAnsi="Segoe Pro"/>
          <w:iCs/>
          <w:sz w:val="21"/>
          <w:szCs w:val="21"/>
        </w:rPr>
        <w:t xml:space="preserve"> </w:t>
      </w:r>
      <w:r w:rsidRPr="00951F90">
        <w:rPr>
          <w:rFonts w:ascii="Segoe Pro" w:hAnsi="Segoe Pro"/>
          <w:iCs/>
          <w:sz w:val="21"/>
          <w:szCs w:val="21"/>
        </w:rPr>
        <w:t>:</w:t>
      </w:r>
    </w:p>
    <w:p w14:paraId="6893491A" w14:textId="06E2A04B" w:rsidR="00D73658" w:rsidRPr="00D73658" w:rsidRDefault="0040278E" w:rsidP="00D73658">
      <w:pPr>
        <w:widowControl w:val="0"/>
        <w:numPr>
          <w:ilvl w:val="1"/>
          <w:numId w:val="20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autoSpaceDE w:val="0"/>
        <w:autoSpaceDN w:val="0"/>
        <w:adjustRightInd w:val="0"/>
        <w:ind w:left="1080" w:right="-684"/>
        <w:rPr>
          <w:rFonts w:ascii="Segoe Pro" w:hAnsi="Segoe Pro" w:cs="Segoe UI"/>
          <w:color w:val="0000FF"/>
          <w:sz w:val="22"/>
          <w:u w:val="single"/>
        </w:rPr>
      </w:pPr>
      <w:hyperlink r:id="rId8" w:tooltip="Politique d'engagement envers les partenaires et les communautés" w:history="1">
        <w:r w:rsidR="00D73658" w:rsidRPr="00D73658">
          <w:rPr>
            <w:rFonts w:ascii="Segoe Pro" w:hAnsi="Segoe Pro"/>
            <w:color w:val="0000FF"/>
            <w:sz w:val="22"/>
            <w:szCs w:val="22"/>
            <w:u w:val="single"/>
          </w:rPr>
          <w:t>GOU 33.0 Engagement envers les partenaires et les communautés</w:t>
        </w:r>
      </w:hyperlink>
    </w:p>
    <w:p w14:paraId="75684DDF" w14:textId="3CD22FE9" w:rsidR="00D73658" w:rsidRPr="00D73658" w:rsidRDefault="00D73658" w:rsidP="00D73658">
      <w:pPr>
        <w:widowControl w:val="0"/>
        <w:numPr>
          <w:ilvl w:val="1"/>
          <w:numId w:val="20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autoSpaceDE w:val="0"/>
        <w:autoSpaceDN w:val="0"/>
        <w:adjustRightInd w:val="0"/>
        <w:ind w:left="1080" w:right="-684"/>
        <w:rPr>
          <w:rFonts w:ascii="Segoe Pro" w:hAnsi="Segoe Pro" w:cs="Segoe UI"/>
          <w:color w:val="0000FF"/>
          <w:sz w:val="22"/>
          <w:u w:val="single"/>
        </w:rPr>
      </w:pPr>
      <w:r w:rsidRPr="00D73658">
        <w:rPr>
          <w:rFonts w:ascii="Segoe Pro" w:hAnsi="Segoe Pro"/>
          <w:color w:val="0000FF"/>
          <w:sz w:val="22"/>
          <w:szCs w:val="22"/>
          <w:u w:val="single"/>
        </w:rPr>
        <w:t xml:space="preserve">GOU 38.0 </w:t>
      </w:r>
      <w:hyperlink r:id="rId9" w:tooltip="Politique d'indemnisation des membres du Conseil et des employés" w:history="1">
        <w:r w:rsidRPr="00D73658">
          <w:rPr>
            <w:rFonts w:ascii="Segoe Pro" w:hAnsi="Segoe Pro"/>
            <w:color w:val="0000FF"/>
            <w:sz w:val="22"/>
            <w:szCs w:val="22"/>
            <w:u w:val="single"/>
          </w:rPr>
          <w:t>Indemnisation</w:t>
        </w:r>
      </w:hyperlink>
      <w:r w:rsidRPr="00D73658">
        <w:rPr>
          <w:rFonts w:ascii="Segoe Pro" w:hAnsi="Segoe Pro"/>
          <w:color w:val="0000FF"/>
          <w:sz w:val="22"/>
          <w:szCs w:val="22"/>
          <w:u w:val="single"/>
        </w:rPr>
        <w:t xml:space="preserve"> des membres du Conseil et des employés</w:t>
      </w:r>
    </w:p>
    <w:p w14:paraId="2473FFCD" w14:textId="6278E051" w:rsidR="00724429" w:rsidRPr="00D73658" w:rsidRDefault="00D73658" w:rsidP="00D73658">
      <w:pPr>
        <w:widowControl w:val="0"/>
        <w:numPr>
          <w:ilvl w:val="1"/>
          <w:numId w:val="20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autoSpaceDE w:val="0"/>
        <w:autoSpaceDN w:val="0"/>
        <w:adjustRightInd w:val="0"/>
        <w:ind w:left="1080" w:right="-684"/>
        <w:rPr>
          <w:rFonts w:ascii="Segoe Pro" w:hAnsi="Segoe Pro" w:cs="Segoe UI"/>
          <w:sz w:val="22"/>
        </w:rPr>
      </w:pPr>
      <w:r w:rsidRPr="00D73658">
        <w:rPr>
          <w:rFonts w:ascii="Segoe Pro" w:hAnsi="Segoe Pro"/>
          <w:color w:val="0000FF"/>
          <w:sz w:val="22"/>
          <w:szCs w:val="22"/>
          <w:u w:val="single"/>
        </w:rPr>
        <w:t xml:space="preserve">GOU 39.0 </w:t>
      </w:r>
      <w:hyperlink r:id="rId10" w:tooltip="Politique de protection des actifs" w:history="1">
        <w:r w:rsidRPr="00D73658">
          <w:rPr>
            <w:rFonts w:ascii="Segoe Pro" w:hAnsi="Segoe Pro"/>
            <w:color w:val="0000FF"/>
            <w:sz w:val="22"/>
            <w:szCs w:val="22"/>
            <w:u w:val="single"/>
          </w:rPr>
          <w:t>Protection</w:t>
        </w:r>
      </w:hyperlink>
      <w:r w:rsidRPr="00D73658">
        <w:rPr>
          <w:rFonts w:ascii="Segoe Pro" w:hAnsi="Segoe Pro"/>
          <w:color w:val="0000FF"/>
          <w:sz w:val="22"/>
          <w:szCs w:val="22"/>
          <w:u w:val="single"/>
        </w:rPr>
        <w:t xml:space="preserve"> des actifs</w:t>
      </w:r>
    </w:p>
    <w:p w14:paraId="5CE332C7" w14:textId="462872A3" w:rsidR="00A16ADA" w:rsidRPr="00E8643F" w:rsidRDefault="00A16ADA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Les élèves conseillers partagent de</w:t>
      </w:r>
      <w:r w:rsidR="00EC7A3B">
        <w:rPr>
          <w:rFonts w:ascii="Segoe Pro" w:hAnsi="Segoe Pro"/>
          <w:iCs/>
          <w:sz w:val="21"/>
          <w:szCs w:val="21"/>
        </w:rPr>
        <w:t xml:space="preserve"> belles</w:t>
      </w:r>
      <w:r>
        <w:rPr>
          <w:rFonts w:ascii="Segoe Pro" w:hAnsi="Segoe Pro"/>
          <w:iCs/>
          <w:sz w:val="21"/>
          <w:szCs w:val="21"/>
        </w:rPr>
        <w:t xml:space="preserve"> photos d</w:t>
      </w:r>
      <w:r w:rsidR="00EC7A3B">
        <w:rPr>
          <w:rFonts w:ascii="Segoe Pro" w:hAnsi="Segoe Pro"/>
          <w:iCs/>
          <w:sz w:val="21"/>
          <w:szCs w:val="21"/>
        </w:rPr>
        <w:t>’</w:t>
      </w:r>
      <w:r>
        <w:rPr>
          <w:rFonts w:ascii="Segoe Pro" w:hAnsi="Segoe Pro"/>
          <w:iCs/>
          <w:sz w:val="21"/>
          <w:szCs w:val="21"/>
        </w:rPr>
        <w:t xml:space="preserve">activités de bienfaisance qui ont eu lieu dans </w:t>
      </w:r>
      <w:r w:rsidR="00EF3142">
        <w:rPr>
          <w:rFonts w:ascii="Segoe Pro" w:hAnsi="Segoe Pro"/>
          <w:iCs/>
          <w:sz w:val="21"/>
          <w:szCs w:val="21"/>
        </w:rPr>
        <w:t>les</w:t>
      </w:r>
      <w:r>
        <w:rPr>
          <w:rFonts w:ascii="Segoe Pro" w:hAnsi="Segoe Pro"/>
          <w:iCs/>
          <w:sz w:val="21"/>
          <w:szCs w:val="21"/>
        </w:rPr>
        <w:t xml:space="preserve"> écoles secondaires </w:t>
      </w:r>
      <w:r w:rsidR="00EF3142">
        <w:rPr>
          <w:rFonts w:ascii="Segoe Pro" w:hAnsi="Segoe Pro"/>
          <w:iCs/>
          <w:sz w:val="21"/>
          <w:szCs w:val="21"/>
        </w:rPr>
        <w:t xml:space="preserve">afin d’appuyer les banques alimentaires dans le temps de Noël. </w:t>
      </w:r>
      <w:r w:rsidR="00F44340" w:rsidRPr="00E8643F">
        <w:rPr>
          <w:rFonts w:ascii="Segoe Pro" w:hAnsi="Segoe Pro"/>
          <w:iCs/>
          <w:sz w:val="21"/>
          <w:szCs w:val="21"/>
        </w:rPr>
        <w:t>Certaines</w:t>
      </w:r>
      <w:r w:rsidR="00294C7B" w:rsidRPr="00E8643F">
        <w:rPr>
          <w:rFonts w:ascii="Segoe Pro" w:hAnsi="Segoe Pro"/>
          <w:iCs/>
          <w:sz w:val="21"/>
          <w:szCs w:val="21"/>
        </w:rPr>
        <w:t xml:space="preserve"> écoles secondaires</w:t>
      </w:r>
      <w:r w:rsidR="00F44340" w:rsidRPr="00E8643F">
        <w:rPr>
          <w:rFonts w:ascii="Segoe Pro" w:hAnsi="Segoe Pro"/>
          <w:iCs/>
          <w:sz w:val="21"/>
          <w:szCs w:val="21"/>
        </w:rPr>
        <w:t xml:space="preserve"> ont tenu</w:t>
      </w:r>
      <w:r w:rsidR="00294C7B" w:rsidRPr="00E8643F">
        <w:rPr>
          <w:rFonts w:ascii="Segoe Pro" w:hAnsi="Segoe Pro"/>
          <w:iCs/>
          <w:sz w:val="21"/>
          <w:szCs w:val="21"/>
        </w:rPr>
        <w:t xml:space="preserve"> des </w:t>
      </w:r>
      <w:hyperlink r:id="rId11" w:history="1">
        <w:r w:rsidR="00294C7B" w:rsidRPr="00E8643F">
          <w:rPr>
            <w:rStyle w:val="Lienhypertexte"/>
            <w:rFonts w:ascii="Segoe Pro" w:hAnsi="Segoe Pro"/>
            <w:iCs/>
            <w:sz w:val="21"/>
            <w:szCs w:val="21"/>
          </w:rPr>
          <w:t>soirées portes ouvert</w:t>
        </w:r>
        <w:r w:rsidR="00F44340" w:rsidRPr="00E8643F">
          <w:rPr>
            <w:rStyle w:val="Lienhypertexte"/>
            <w:rFonts w:ascii="Segoe Pro" w:hAnsi="Segoe Pro"/>
            <w:iCs/>
            <w:sz w:val="21"/>
            <w:szCs w:val="21"/>
          </w:rPr>
          <w:t>e</w:t>
        </w:r>
        <w:r w:rsidR="00294C7B" w:rsidRPr="00E8643F">
          <w:rPr>
            <w:rStyle w:val="Lienhypertexte"/>
            <w:rFonts w:ascii="Segoe Pro" w:hAnsi="Segoe Pro"/>
            <w:iCs/>
            <w:sz w:val="21"/>
            <w:szCs w:val="21"/>
          </w:rPr>
          <w:t>s virtuelles</w:t>
        </w:r>
      </w:hyperlink>
      <w:r w:rsidR="00294C7B" w:rsidRPr="00E8643F">
        <w:rPr>
          <w:rFonts w:ascii="Segoe Pro" w:hAnsi="Segoe Pro"/>
          <w:iCs/>
          <w:sz w:val="21"/>
          <w:szCs w:val="21"/>
        </w:rPr>
        <w:t xml:space="preserve"> durant le mois de janvier.</w:t>
      </w:r>
    </w:p>
    <w:p w14:paraId="44554BF9" w14:textId="1583682E" w:rsidR="00A62251" w:rsidRDefault="00F81AFD" w:rsidP="005F44EE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294C7B">
        <w:rPr>
          <w:rFonts w:ascii="Segoe Pro" w:hAnsi="Segoe Pro"/>
          <w:iCs/>
          <w:sz w:val="21"/>
          <w:szCs w:val="21"/>
        </w:rPr>
        <w:t xml:space="preserve">Le bulletin #NouvelonEnAction </w:t>
      </w:r>
      <w:r w:rsidR="0071645D" w:rsidRPr="00294C7B">
        <w:rPr>
          <w:rFonts w:ascii="Segoe Pro" w:hAnsi="Segoe Pro"/>
          <w:iCs/>
          <w:sz w:val="21"/>
          <w:szCs w:val="21"/>
        </w:rPr>
        <w:t>–</w:t>
      </w:r>
      <w:r w:rsidR="003041FF" w:rsidRPr="00294C7B">
        <w:rPr>
          <w:rFonts w:ascii="Segoe Pro" w:hAnsi="Segoe Pro"/>
          <w:iCs/>
          <w:sz w:val="21"/>
          <w:szCs w:val="21"/>
        </w:rPr>
        <w:t xml:space="preserve"> </w:t>
      </w:r>
      <w:r w:rsidR="0071645D" w:rsidRPr="00294C7B">
        <w:rPr>
          <w:rFonts w:ascii="Segoe Pro" w:hAnsi="Segoe Pro"/>
          <w:iCs/>
          <w:sz w:val="21"/>
          <w:szCs w:val="21"/>
        </w:rPr>
        <w:t>janvier</w:t>
      </w:r>
      <w:r w:rsidR="003041FF" w:rsidRPr="00294C7B">
        <w:rPr>
          <w:rFonts w:ascii="Segoe Pro" w:hAnsi="Segoe Pro"/>
          <w:iCs/>
          <w:sz w:val="21"/>
          <w:szCs w:val="21"/>
        </w:rPr>
        <w:t xml:space="preserve"> 202</w:t>
      </w:r>
      <w:r w:rsidR="0071645D" w:rsidRPr="00294C7B">
        <w:rPr>
          <w:rFonts w:ascii="Segoe Pro" w:hAnsi="Segoe Pro"/>
          <w:iCs/>
          <w:sz w:val="21"/>
          <w:szCs w:val="21"/>
        </w:rPr>
        <w:t>2</w:t>
      </w:r>
      <w:r w:rsidR="003041FF" w:rsidRPr="00294C7B">
        <w:rPr>
          <w:rFonts w:ascii="Segoe Pro" w:hAnsi="Segoe Pro"/>
          <w:iCs/>
          <w:sz w:val="21"/>
          <w:szCs w:val="21"/>
        </w:rPr>
        <w:t xml:space="preserve"> </w:t>
      </w:r>
      <w:r w:rsidRPr="00294C7B">
        <w:rPr>
          <w:rFonts w:ascii="Segoe Pro" w:hAnsi="Segoe Pro"/>
          <w:iCs/>
          <w:sz w:val="21"/>
          <w:szCs w:val="21"/>
        </w:rPr>
        <w:t>souligne le Fruit de l’Esprit</w:t>
      </w:r>
      <w:r w:rsidR="0071645D" w:rsidRPr="00294C7B">
        <w:rPr>
          <w:rFonts w:ascii="Segoe Pro" w:hAnsi="Segoe Pro"/>
          <w:iCs/>
          <w:sz w:val="21"/>
          <w:szCs w:val="21"/>
        </w:rPr>
        <w:t> : la  patience.</w:t>
      </w:r>
      <w:r w:rsidRPr="00294C7B">
        <w:rPr>
          <w:rFonts w:ascii="Segoe Pro" w:hAnsi="Segoe Pro"/>
          <w:iCs/>
          <w:sz w:val="21"/>
          <w:szCs w:val="21"/>
        </w:rPr>
        <w:t xml:space="preserve"> </w:t>
      </w:r>
      <w:hyperlink r:id="rId12" w:history="1">
        <w:r w:rsidR="003041FF" w:rsidRPr="00294C7B">
          <w:rPr>
            <w:rStyle w:val="Lienhypertexte"/>
            <w:rFonts w:ascii="Segoe Pro" w:hAnsi="Segoe Pro"/>
            <w:iCs/>
            <w:sz w:val="21"/>
            <w:szCs w:val="21"/>
          </w:rPr>
          <w:t>Découvrez</w:t>
        </w:r>
        <w:r w:rsidRPr="00294C7B">
          <w:rPr>
            <w:rStyle w:val="Lienhypertexte"/>
            <w:rFonts w:ascii="Segoe Pro" w:hAnsi="Segoe Pro"/>
            <w:iCs/>
            <w:sz w:val="21"/>
            <w:szCs w:val="21"/>
          </w:rPr>
          <w:t>-le</w:t>
        </w:r>
      </w:hyperlink>
      <w:r w:rsidRPr="00294C7B">
        <w:rPr>
          <w:rFonts w:ascii="Segoe Pro" w:hAnsi="Segoe Pro"/>
          <w:iCs/>
          <w:sz w:val="21"/>
          <w:szCs w:val="21"/>
        </w:rPr>
        <w:t>!</w:t>
      </w:r>
    </w:p>
    <w:p w14:paraId="6D405DF0" w14:textId="7351B218" w:rsidR="003E61DD" w:rsidRDefault="003E61DD" w:rsidP="005F44EE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directeur de l’éducation et secrétaire-trésorier fait une mise à jour des diverses initiatives ministérielles visant un retour sécuritaire en présentiel des élèves et du personnel dans les écoles</w:t>
      </w:r>
      <w:r w:rsidR="00B93422">
        <w:rPr>
          <w:rFonts w:ascii="Segoe Pro" w:hAnsi="Segoe Pro"/>
          <w:iCs/>
          <w:sz w:val="21"/>
          <w:szCs w:val="21"/>
        </w:rPr>
        <w:t xml:space="preserve"> depuis le 17 janvier 2022.</w:t>
      </w:r>
    </w:p>
    <w:sectPr w:rsidR="003E61DD" w:rsidSect="008C6104">
      <w:headerReference w:type="default" r:id="rId13"/>
      <w:headerReference w:type="first" r:id="rId14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EB52" w14:textId="77777777" w:rsidR="0040278E" w:rsidRDefault="0040278E">
      <w:r>
        <w:separator/>
      </w:r>
    </w:p>
  </w:endnote>
  <w:endnote w:type="continuationSeparator" w:id="0">
    <w:p w14:paraId="27B79E15" w14:textId="77777777" w:rsidR="0040278E" w:rsidRDefault="0040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7C10" w14:textId="77777777" w:rsidR="0040278E" w:rsidRDefault="0040278E">
      <w:r>
        <w:separator/>
      </w:r>
    </w:p>
  </w:footnote>
  <w:footnote w:type="continuationSeparator" w:id="0">
    <w:p w14:paraId="62961631" w14:textId="77777777" w:rsidR="0040278E" w:rsidRDefault="0040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  <w:num w:numId="13">
    <w:abstractNumId w:val="9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D66C9"/>
    <w:rsid w:val="000F5B1E"/>
    <w:rsid w:val="00102D98"/>
    <w:rsid w:val="00111A8B"/>
    <w:rsid w:val="00112310"/>
    <w:rsid w:val="00113172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4AEA"/>
    <w:rsid w:val="00287659"/>
    <w:rsid w:val="002908C4"/>
    <w:rsid w:val="00292A4E"/>
    <w:rsid w:val="00293B0D"/>
    <w:rsid w:val="00294C7B"/>
    <w:rsid w:val="002B0E51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3E61DD"/>
    <w:rsid w:val="0040278E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84729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645D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B89"/>
    <w:rsid w:val="009E7BFB"/>
    <w:rsid w:val="00A00939"/>
    <w:rsid w:val="00A13C90"/>
    <w:rsid w:val="00A16ADA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3422"/>
    <w:rsid w:val="00B943D4"/>
    <w:rsid w:val="00BA2950"/>
    <w:rsid w:val="00BA600F"/>
    <w:rsid w:val="00BC4E58"/>
    <w:rsid w:val="00BC7519"/>
    <w:rsid w:val="00BD4EBC"/>
    <w:rsid w:val="00BD5A3B"/>
    <w:rsid w:val="00BD635B"/>
    <w:rsid w:val="00BF2AE4"/>
    <w:rsid w:val="00BF50BF"/>
    <w:rsid w:val="00C056D3"/>
    <w:rsid w:val="00C2697A"/>
    <w:rsid w:val="00C30603"/>
    <w:rsid w:val="00C30F4B"/>
    <w:rsid w:val="00C3246E"/>
    <w:rsid w:val="00C326E0"/>
    <w:rsid w:val="00C45637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227A4"/>
    <w:rsid w:val="00D5115D"/>
    <w:rsid w:val="00D57523"/>
    <w:rsid w:val="00D67C1D"/>
    <w:rsid w:val="00D73658"/>
    <w:rsid w:val="00D86956"/>
    <w:rsid w:val="00D95AEE"/>
    <w:rsid w:val="00DA457F"/>
    <w:rsid w:val="00DB1AE1"/>
    <w:rsid w:val="00DB2BB5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27EC"/>
    <w:rsid w:val="00E638DC"/>
    <w:rsid w:val="00E6516F"/>
    <w:rsid w:val="00E72A9C"/>
    <w:rsid w:val="00E8643F"/>
    <w:rsid w:val="00E937F4"/>
    <w:rsid w:val="00E976CA"/>
    <w:rsid w:val="00EA7D5E"/>
    <w:rsid w:val="00EC1CB1"/>
    <w:rsid w:val="00EC2760"/>
    <w:rsid w:val="00EC7A3B"/>
    <w:rsid w:val="00ED5A86"/>
    <w:rsid w:val="00EF0EFE"/>
    <w:rsid w:val="00EF2F5E"/>
    <w:rsid w:val="00EF3142"/>
    <w:rsid w:val="00F023A2"/>
    <w:rsid w:val="00F0450D"/>
    <w:rsid w:val="00F10A81"/>
    <w:rsid w:val="00F32D40"/>
    <w:rsid w:val="00F363D8"/>
    <w:rsid w:val="00F44340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  <w:style w:type="character" w:styleId="Lienhypertextesuivivisit">
    <w:name w:val="FollowedHyperlink"/>
    <w:basedOn w:val="Policepardfaut"/>
    <w:semiHidden/>
    <w:unhideWhenUsed/>
    <w:rsid w:val="00B93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GOU33_0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QxejJSL_1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8226;%09https:/www.nouvelon.ca/nouvelles/communiques-de-presse/1765-des-soirees-portes-ouvertes-virtuelles-dans-les-ecoles-secondaires-du-csc-nouvel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nouvelon.ca/doc/DA/GOU39_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nouvelon.ca/doc/DA/GOU38_00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40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 25 janvier 2022</dc:title>
  <dc:subject>Faits saillants</dc:subject>
  <dc:creator>Conseil scolaire catholique Nouvelon</dc:creator>
  <cp:keywords>Faits saillants</cp:keywords>
  <cp:lastModifiedBy>Lorraine Mainville</cp:lastModifiedBy>
  <cp:revision>14</cp:revision>
  <cp:lastPrinted>2020-12-07T13:38:00Z</cp:lastPrinted>
  <dcterms:created xsi:type="dcterms:W3CDTF">2022-01-26T14:10:00Z</dcterms:created>
  <dcterms:modified xsi:type="dcterms:W3CDTF">2022-01-26T15:10:00Z</dcterms:modified>
</cp:coreProperties>
</file>